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6E45" w14:textId="12A6023F" w:rsidR="00D500AE" w:rsidRDefault="00D500AE" w:rsidP="00D500AE">
      <w:pPr>
        <w:tabs>
          <w:tab w:val="left" w:pos="2903"/>
        </w:tabs>
        <w:ind w:left="-360" w:right="-450"/>
        <w:jc w:val="center"/>
        <w:rPr>
          <w:b/>
          <w:bCs/>
          <w:sz w:val="24"/>
          <w:szCs w:val="24"/>
        </w:rPr>
      </w:pPr>
    </w:p>
    <w:p w14:paraId="05B0F931" w14:textId="71547928" w:rsidR="007D1269" w:rsidRDefault="007D1269" w:rsidP="00D500AE">
      <w:pPr>
        <w:tabs>
          <w:tab w:val="left" w:pos="2903"/>
        </w:tabs>
        <w:ind w:left="-360" w:right="-450"/>
        <w:jc w:val="center"/>
        <w:rPr>
          <w:b/>
          <w:bCs/>
          <w:sz w:val="24"/>
          <w:szCs w:val="24"/>
        </w:rPr>
      </w:pPr>
    </w:p>
    <w:p w14:paraId="50B8E1C0" w14:textId="77777777" w:rsidR="007D1269" w:rsidRDefault="007D1269" w:rsidP="00D500AE">
      <w:pPr>
        <w:tabs>
          <w:tab w:val="left" w:pos="2903"/>
        </w:tabs>
        <w:ind w:left="-360" w:right="-450"/>
        <w:jc w:val="center"/>
        <w:rPr>
          <w:b/>
          <w:bCs/>
          <w:sz w:val="24"/>
          <w:szCs w:val="24"/>
        </w:rPr>
      </w:pPr>
    </w:p>
    <w:p w14:paraId="7CEB2A80" w14:textId="77777777" w:rsidR="00D500AE" w:rsidRDefault="00D500AE" w:rsidP="00D500AE">
      <w:pPr>
        <w:tabs>
          <w:tab w:val="left" w:pos="2903"/>
        </w:tabs>
        <w:ind w:left="-360" w:right="-450"/>
        <w:jc w:val="center"/>
        <w:rPr>
          <w:b/>
          <w:bCs/>
          <w:sz w:val="24"/>
          <w:szCs w:val="24"/>
        </w:rPr>
      </w:pPr>
      <w:r>
        <w:rPr>
          <w:b/>
          <w:bCs/>
          <w:sz w:val="24"/>
          <w:szCs w:val="24"/>
        </w:rPr>
        <w:t xml:space="preserve">NOTICE OF POTENTIAL CHANGES TO </w:t>
      </w:r>
      <w:r w:rsidRPr="006E37F1">
        <w:rPr>
          <w:b/>
          <w:bCs/>
          <w:sz w:val="24"/>
          <w:szCs w:val="24"/>
        </w:rPr>
        <w:t xml:space="preserve">ELIGIBLE AREA MAPS FOR </w:t>
      </w:r>
    </w:p>
    <w:p w14:paraId="64CA5DBE" w14:textId="77777777" w:rsidR="00D500AE" w:rsidRPr="006E37F1" w:rsidRDefault="00D500AE" w:rsidP="00D500AE">
      <w:pPr>
        <w:tabs>
          <w:tab w:val="left" w:pos="2903"/>
        </w:tabs>
        <w:ind w:left="-360" w:right="-450"/>
        <w:jc w:val="center"/>
        <w:rPr>
          <w:b/>
          <w:bCs/>
          <w:sz w:val="24"/>
          <w:szCs w:val="24"/>
        </w:rPr>
      </w:pPr>
      <w:r w:rsidRPr="006E37F1">
        <w:rPr>
          <w:b/>
          <w:bCs/>
          <w:sz w:val="24"/>
          <w:szCs w:val="24"/>
        </w:rPr>
        <w:t>USDA RURAL DEVELOPMENT HOUSING PROGRAMS</w:t>
      </w:r>
    </w:p>
    <w:p w14:paraId="427B3BEF" w14:textId="77777777" w:rsidR="00D500AE" w:rsidRPr="00C30618" w:rsidRDefault="00D500AE" w:rsidP="00D500AE">
      <w:pPr>
        <w:jc w:val="center"/>
        <w:rPr>
          <w:rFonts w:ascii="Times New Roman" w:hAnsi="Times New Roman" w:cs="Times New Roman"/>
          <w:i/>
          <w:iCs/>
          <w:sz w:val="24"/>
          <w:szCs w:val="24"/>
        </w:rPr>
      </w:pPr>
    </w:p>
    <w:p w14:paraId="0CB7079C" w14:textId="77777777" w:rsidR="00D500AE" w:rsidRDefault="00D500AE" w:rsidP="00D500AE">
      <w:pPr>
        <w:rPr>
          <w:rFonts w:ascii="Times New Roman" w:hAnsi="Times New Roman" w:cs="Times New Roman"/>
          <w:sz w:val="24"/>
          <w:szCs w:val="24"/>
        </w:rPr>
      </w:pPr>
      <w:r>
        <w:rPr>
          <w:rFonts w:ascii="Times New Roman" w:hAnsi="Times New Roman" w:cs="Times New Roman"/>
          <w:sz w:val="24"/>
          <w:szCs w:val="24"/>
        </w:rPr>
        <w:t xml:space="preserve">USDA Rural Development is </w:t>
      </w:r>
      <w:r w:rsidRPr="00C30618">
        <w:rPr>
          <w:rFonts w:ascii="Times New Roman" w:hAnsi="Times New Roman" w:cs="Times New Roman"/>
          <w:sz w:val="24"/>
          <w:szCs w:val="24"/>
        </w:rPr>
        <w:t>conduct</w:t>
      </w:r>
      <w:r>
        <w:rPr>
          <w:rFonts w:ascii="Times New Roman" w:hAnsi="Times New Roman" w:cs="Times New Roman"/>
          <w:sz w:val="24"/>
          <w:szCs w:val="24"/>
        </w:rPr>
        <w:t>ing a</w:t>
      </w:r>
      <w:r w:rsidRPr="00C30618">
        <w:rPr>
          <w:rFonts w:ascii="Times New Roman" w:hAnsi="Times New Roman" w:cs="Times New Roman"/>
          <w:sz w:val="24"/>
          <w:szCs w:val="24"/>
        </w:rPr>
        <w:t xml:space="preserve"> review of all areas under its jurisdiction to identify areas that no longer qualify as rural for housing programs.  </w:t>
      </w:r>
      <w:r w:rsidRPr="00C26F31">
        <w:rPr>
          <w:rFonts w:ascii="Times New Roman" w:hAnsi="Times New Roman" w:cs="Times New Roman"/>
          <w:sz w:val="24"/>
          <w:szCs w:val="24"/>
        </w:rPr>
        <w:t>The last rural area reviews</w:t>
      </w:r>
      <w:r>
        <w:rPr>
          <w:rFonts w:ascii="Times New Roman" w:hAnsi="Times New Roman" w:cs="Times New Roman"/>
          <w:sz w:val="24"/>
          <w:szCs w:val="24"/>
        </w:rPr>
        <w:t xml:space="preserve"> </w:t>
      </w:r>
      <w:r w:rsidRPr="00C26F31">
        <w:rPr>
          <w:rFonts w:ascii="Times New Roman" w:hAnsi="Times New Roman" w:cs="Times New Roman"/>
          <w:sz w:val="24"/>
          <w:szCs w:val="24"/>
        </w:rPr>
        <w:t>were performed in 201</w:t>
      </w:r>
      <w:r>
        <w:rPr>
          <w:rFonts w:ascii="Times New Roman" w:hAnsi="Times New Roman" w:cs="Times New Roman"/>
          <w:sz w:val="24"/>
          <w:szCs w:val="24"/>
        </w:rPr>
        <w:t>7</w:t>
      </w:r>
      <w:r w:rsidRPr="00C26F31">
        <w:rPr>
          <w:rFonts w:ascii="Times New Roman" w:hAnsi="Times New Roman" w:cs="Times New Roman"/>
          <w:sz w:val="24"/>
          <w:szCs w:val="24"/>
        </w:rPr>
        <w:t>-201</w:t>
      </w:r>
      <w:r>
        <w:rPr>
          <w:rFonts w:ascii="Times New Roman" w:hAnsi="Times New Roman" w:cs="Times New Roman"/>
          <w:sz w:val="24"/>
          <w:szCs w:val="24"/>
        </w:rPr>
        <w:t>8</w:t>
      </w:r>
      <w:r w:rsidRPr="00C26F31">
        <w:rPr>
          <w:rFonts w:ascii="Times New Roman" w:hAnsi="Times New Roman" w:cs="Times New Roman"/>
          <w:sz w:val="24"/>
          <w:szCs w:val="24"/>
        </w:rPr>
        <w:t xml:space="preserve"> using </w:t>
      </w:r>
      <w:r w:rsidRPr="00003669">
        <w:rPr>
          <w:rFonts w:ascii="Times New Roman" w:hAnsi="Times New Roman" w:cs="Times New Roman"/>
          <w:sz w:val="24"/>
          <w:szCs w:val="24"/>
        </w:rPr>
        <w:t>201</w:t>
      </w:r>
      <w:r>
        <w:rPr>
          <w:rFonts w:ascii="Times New Roman" w:hAnsi="Times New Roman" w:cs="Times New Roman"/>
          <w:sz w:val="24"/>
          <w:szCs w:val="24"/>
        </w:rPr>
        <w:t>5</w:t>
      </w:r>
      <w:r w:rsidRPr="00003669">
        <w:rPr>
          <w:rFonts w:ascii="Times New Roman" w:hAnsi="Times New Roman" w:cs="Times New Roman"/>
          <w:sz w:val="24"/>
          <w:szCs w:val="24"/>
        </w:rPr>
        <w:t xml:space="preserve"> American Community Survey (ACS) data</w:t>
      </w:r>
      <w:r w:rsidRPr="00C26F31">
        <w:rPr>
          <w:rFonts w:ascii="Times New Roman" w:hAnsi="Times New Roman" w:cs="Times New Roman"/>
          <w:sz w:val="24"/>
          <w:szCs w:val="24"/>
        </w:rPr>
        <w:t xml:space="preserve">. </w:t>
      </w:r>
      <w:r>
        <w:rPr>
          <w:rFonts w:ascii="Times New Roman" w:hAnsi="Times New Roman" w:cs="Times New Roman"/>
          <w:sz w:val="24"/>
          <w:szCs w:val="24"/>
        </w:rPr>
        <w:t xml:space="preserve"> Rural area designations are reviewed every five years. </w:t>
      </w:r>
      <w:r w:rsidRPr="00003669">
        <w:rPr>
          <w:rFonts w:ascii="Times New Roman" w:hAnsi="Times New Roman" w:cs="Times New Roman"/>
          <w:sz w:val="24"/>
          <w:szCs w:val="24"/>
        </w:rPr>
        <w:t>Th</w:t>
      </w:r>
      <w:r>
        <w:rPr>
          <w:rFonts w:ascii="Times New Roman" w:hAnsi="Times New Roman" w:cs="Times New Roman"/>
          <w:sz w:val="24"/>
          <w:szCs w:val="24"/>
        </w:rPr>
        <w:t>is</w:t>
      </w:r>
      <w:r w:rsidRPr="00003669">
        <w:rPr>
          <w:rFonts w:ascii="Times New Roman" w:hAnsi="Times New Roman" w:cs="Times New Roman"/>
          <w:sz w:val="24"/>
          <w:szCs w:val="24"/>
        </w:rPr>
        <w:t xml:space="preserve"> </w:t>
      </w:r>
      <w:r>
        <w:rPr>
          <w:rFonts w:ascii="Times New Roman" w:hAnsi="Times New Roman" w:cs="Times New Roman"/>
          <w:sz w:val="24"/>
          <w:szCs w:val="24"/>
        </w:rPr>
        <w:t>review will utilize</w:t>
      </w:r>
      <w:r w:rsidRPr="00003669">
        <w:rPr>
          <w:rFonts w:ascii="Times New Roman" w:hAnsi="Times New Roman" w:cs="Times New Roman"/>
          <w:sz w:val="24"/>
          <w:szCs w:val="24"/>
        </w:rPr>
        <w:t xml:space="preserve"> the </w:t>
      </w:r>
      <w:r>
        <w:rPr>
          <w:rFonts w:ascii="Times New Roman" w:hAnsi="Times New Roman" w:cs="Times New Roman"/>
          <w:sz w:val="24"/>
          <w:szCs w:val="24"/>
        </w:rPr>
        <w:t>2020 United States decennial census data</w:t>
      </w:r>
      <w:r w:rsidRPr="00003669">
        <w:rPr>
          <w:rFonts w:ascii="Times New Roman" w:hAnsi="Times New Roman" w:cs="Times New Roman"/>
          <w:sz w:val="24"/>
          <w:szCs w:val="24"/>
        </w:rPr>
        <w:t>.</w:t>
      </w:r>
      <w:r>
        <w:rPr>
          <w:rFonts w:ascii="Times New Roman" w:hAnsi="Times New Roman" w:cs="Times New Roman"/>
          <w:sz w:val="24"/>
          <w:szCs w:val="24"/>
        </w:rPr>
        <w:tab/>
        <w:t xml:space="preserve"> </w:t>
      </w:r>
    </w:p>
    <w:p w14:paraId="64AB9F98" w14:textId="77777777" w:rsidR="00D500AE" w:rsidRDefault="00D500AE" w:rsidP="00D500AE">
      <w:pPr>
        <w:rPr>
          <w:rFonts w:ascii="Times New Roman" w:hAnsi="Times New Roman" w:cs="Times New Roman"/>
          <w:sz w:val="24"/>
          <w:szCs w:val="24"/>
        </w:rPr>
      </w:pPr>
    </w:p>
    <w:p w14:paraId="271685B4" w14:textId="7467F055" w:rsidR="00D500AE" w:rsidRDefault="00D500AE" w:rsidP="00D500AE">
      <w:pPr>
        <w:rPr>
          <w:rFonts w:ascii="Times New Roman" w:hAnsi="Times New Roman" w:cs="Times New Roman"/>
          <w:sz w:val="24"/>
          <w:szCs w:val="24"/>
        </w:rPr>
      </w:pPr>
      <w:r>
        <w:rPr>
          <w:rFonts w:ascii="Times New Roman" w:hAnsi="Times New Roman" w:cs="Times New Roman"/>
          <w:sz w:val="24"/>
          <w:szCs w:val="24"/>
        </w:rPr>
        <w:t xml:space="preserve">Based on the 2020 US census </w:t>
      </w:r>
      <w:r w:rsidRPr="00C26F31">
        <w:rPr>
          <w:rFonts w:ascii="Times New Roman" w:hAnsi="Times New Roman" w:cs="Times New Roman"/>
          <w:sz w:val="24"/>
          <w:szCs w:val="24"/>
        </w:rPr>
        <w:t>data</w:t>
      </w:r>
      <w:r>
        <w:rPr>
          <w:rFonts w:ascii="Times New Roman" w:hAnsi="Times New Roman" w:cs="Times New Roman"/>
          <w:sz w:val="24"/>
          <w:szCs w:val="24"/>
        </w:rPr>
        <w:t xml:space="preserve"> and rural area guidance located in Handbook </w:t>
      </w:r>
      <w:hyperlink r:id="rId5" w:history="1">
        <w:r w:rsidRPr="00997C58">
          <w:rPr>
            <w:rStyle w:val="Hyperlink"/>
            <w:rFonts w:ascii="Times New Roman" w:hAnsi="Times New Roman" w:cs="Times New Roman"/>
            <w:sz w:val="24"/>
            <w:szCs w:val="24"/>
          </w:rPr>
          <w:t>HB-1-3550, Chapter 5</w:t>
        </w:r>
      </w:hyperlink>
      <w:r>
        <w:rPr>
          <w:rFonts w:ascii="Times New Roman" w:hAnsi="Times New Roman" w:cs="Times New Roman"/>
          <w:sz w:val="24"/>
          <w:szCs w:val="24"/>
        </w:rPr>
        <w:t xml:space="preserve">, the rural eligibility designation is under review for the following areas in </w:t>
      </w:r>
      <w:r w:rsidR="00184177">
        <w:rPr>
          <w:rFonts w:ascii="Times New Roman" w:hAnsi="Times New Roman" w:cs="Times New Roman"/>
          <w:sz w:val="24"/>
          <w:szCs w:val="24"/>
        </w:rPr>
        <w:t>North Dakota</w:t>
      </w:r>
      <w:r>
        <w:rPr>
          <w:rFonts w:ascii="Times New Roman" w:hAnsi="Times New Roman" w:cs="Times New Roman"/>
          <w:sz w:val="24"/>
          <w:szCs w:val="24"/>
        </w:rPr>
        <w:t>:</w:t>
      </w:r>
    </w:p>
    <w:p w14:paraId="22DF9955" w14:textId="5FB96415" w:rsidR="00D500AE" w:rsidRDefault="00D500AE" w:rsidP="00D500AE">
      <w:pPr>
        <w:pStyle w:val="BodyText"/>
        <w:spacing w:before="11"/>
        <w:jc w:val="both"/>
        <w:rPr>
          <w:rFonts w:ascii="Times New Roman" w:eastAsiaTheme="minorEastAsia" w:hAnsi="Times New Roman" w:cs="Times New Roman"/>
          <w:color w:val="000000" w:themeColor="text1"/>
          <w:sz w:val="24"/>
          <w:szCs w:val="24"/>
          <w:lang w:eastAsia="ja-JP"/>
        </w:rPr>
      </w:pPr>
    </w:p>
    <w:p w14:paraId="66415198" w14:textId="3998ADD0" w:rsidR="007D1269" w:rsidRDefault="007D1269" w:rsidP="00D500AE">
      <w:pPr>
        <w:pStyle w:val="BodyText"/>
        <w:spacing w:before="11"/>
        <w:jc w:val="both"/>
        <w:rPr>
          <w:rFonts w:ascii="Times New Roman" w:eastAsiaTheme="minorEastAsia" w:hAnsi="Times New Roman" w:cs="Times New Roman"/>
          <w:b/>
          <w:bCs/>
          <w:color w:val="000000" w:themeColor="text1"/>
          <w:sz w:val="24"/>
          <w:szCs w:val="24"/>
          <w:lang w:eastAsia="ja-JP"/>
        </w:rPr>
      </w:pPr>
      <w:r>
        <w:rPr>
          <w:rFonts w:ascii="Times New Roman" w:eastAsiaTheme="minorEastAsia" w:hAnsi="Times New Roman" w:cs="Times New Roman"/>
          <w:color w:val="000000" w:themeColor="text1"/>
          <w:sz w:val="24"/>
          <w:szCs w:val="24"/>
          <w:lang w:eastAsia="ja-JP"/>
        </w:rPr>
        <w:tab/>
      </w:r>
      <w:r>
        <w:rPr>
          <w:rFonts w:ascii="Times New Roman" w:eastAsiaTheme="minorEastAsia" w:hAnsi="Times New Roman" w:cs="Times New Roman"/>
          <w:b/>
          <w:bCs/>
          <w:color w:val="000000" w:themeColor="text1"/>
          <w:sz w:val="24"/>
          <w:szCs w:val="24"/>
          <w:lang w:eastAsia="ja-JP"/>
        </w:rPr>
        <w:t>Currently eligible communities under review:</w:t>
      </w:r>
    </w:p>
    <w:p w14:paraId="3150DFE7" w14:textId="2D76149A" w:rsidR="007D1269" w:rsidRDefault="007D1269" w:rsidP="007D1269">
      <w:pPr>
        <w:pStyle w:val="BodyText"/>
        <w:numPr>
          <w:ilvl w:val="0"/>
          <w:numId w:val="2"/>
        </w:numPr>
        <w:spacing w:before="11"/>
        <w:jc w:val="both"/>
        <w:rPr>
          <w:rFonts w:ascii="Times New Roman" w:eastAsiaTheme="minorEastAsia" w:hAnsi="Times New Roman" w:cs="Times New Roman"/>
          <w:color w:val="000000" w:themeColor="text1"/>
          <w:sz w:val="24"/>
          <w:szCs w:val="24"/>
          <w:lang w:eastAsia="ja-JP"/>
        </w:rPr>
      </w:pPr>
      <w:r>
        <w:rPr>
          <w:rFonts w:ascii="Times New Roman" w:eastAsiaTheme="minorEastAsia" w:hAnsi="Times New Roman" w:cs="Times New Roman"/>
          <w:color w:val="000000" w:themeColor="text1"/>
          <w:sz w:val="24"/>
          <w:szCs w:val="24"/>
          <w:lang w:eastAsia="ja-JP"/>
        </w:rPr>
        <w:t xml:space="preserve"> Dickinson</w:t>
      </w:r>
    </w:p>
    <w:p w14:paraId="2601129E" w14:textId="4104D87E" w:rsidR="007D1269" w:rsidRDefault="007D1269" w:rsidP="007D1269">
      <w:pPr>
        <w:pStyle w:val="BodyText"/>
        <w:numPr>
          <w:ilvl w:val="0"/>
          <w:numId w:val="2"/>
        </w:numPr>
        <w:spacing w:before="11"/>
        <w:jc w:val="both"/>
        <w:rPr>
          <w:rFonts w:ascii="Times New Roman" w:eastAsiaTheme="minorEastAsia" w:hAnsi="Times New Roman" w:cs="Times New Roman"/>
          <w:color w:val="000000" w:themeColor="text1"/>
          <w:sz w:val="24"/>
          <w:szCs w:val="24"/>
          <w:lang w:eastAsia="ja-JP"/>
        </w:rPr>
      </w:pPr>
      <w:r>
        <w:rPr>
          <w:rFonts w:ascii="Times New Roman" w:eastAsiaTheme="minorEastAsia" w:hAnsi="Times New Roman" w:cs="Times New Roman"/>
          <w:color w:val="000000" w:themeColor="text1"/>
          <w:sz w:val="24"/>
          <w:szCs w:val="24"/>
          <w:lang w:eastAsia="ja-JP"/>
        </w:rPr>
        <w:t>Williston</w:t>
      </w:r>
    </w:p>
    <w:p w14:paraId="71F23A0E" w14:textId="77777777" w:rsidR="007D1269" w:rsidRPr="007D1269" w:rsidRDefault="007D1269" w:rsidP="007D1269">
      <w:pPr>
        <w:pStyle w:val="BodyText"/>
        <w:spacing w:before="11"/>
        <w:ind w:left="1080"/>
        <w:jc w:val="both"/>
        <w:rPr>
          <w:rFonts w:ascii="Times New Roman" w:eastAsiaTheme="minorEastAsia" w:hAnsi="Times New Roman" w:cs="Times New Roman"/>
          <w:color w:val="000000" w:themeColor="text1"/>
          <w:sz w:val="24"/>
          <w:szCs w:val="24"/>
          <w:lang w:eastAsia="ja-JP"/>
        </w:rPr>
      </w:pPr>
    </w:p>
    <w:p w14:paraId="770A17A2" w14:textId="77777777" w:rsidR="00D500AE" w:rsidRPr="00184177" w:rsidRDefault="00D500AE" w:rsidP="00D500AE">
      <w:pPr>
        <w:pStyle w:val="Heading5"/>
        <w:ind w:left="719"/>
        <w:jc w:val="both"/>
        <w:rPr>
          <w:rFonts w:ascii="Times New Roman" w:eastAsiaTheme="minorEastAsia" w:hAnsi="Times New Roman" w:cs="Times New Roman"/>
          <w:color w:val="000000" w:themeColor="text1"/>
          <w:sz w:val="24"/>
          <w:szCs w:val="24"/>
          <w:lang w:eastAsia="ja-JP"/>
        </w:rPr>
      </w:pPr>
      <w:r w:rsidRPr="00184177">
        <w:rPr>
          <w:rFonts w:ascii="Times New Roman" w:eastAsiaTheme="minorEastAsia" w:hAnsi="Times New Roman" w:cs="Times New Roman"/>
          <w:color w:val="000000" w:themeColor="text1"/>
          <w:sz w:val="24"/>
          <w:szCs w:val="24"/>
          <w:lang w:eastAsia="ja-JP"/>
        </w:rPr>
        <w:t>Ineligible communities under review (expansion of ineligible areas):</w:t>
      </w:r>
    </w:p>
    <w:p w14:paraId="5939A62C" w14:textId="25E4D4D7" w:rsidR="00D500AE" w:rsidRPr="00184177" w:rsidRDefault="00184177" w:rsidP="00D500AE">
      <w:pPr>
        <w:pStyle w:val="ListParagraph"/>
        <w:widowControl w:val="0"/>
        <w:numPr>
          <w:ilvl w:val="0"/>
          <w:numId w:val="1"/>
        </w:numPr>
        <w:tabs>
          <w:tab w:val="left" w:pos="1062"/>
        </w:tabs>
        <w:autoSpaceDE w:val="0"/>
        <w:autoSpaceDN w:val="0"/>
        <w:spacing w:before="36"/>
        <w:ind w:left="1059" w:hanging="343"/>
        <w:jc w:val="both"/>
        <w:rPr>
          <w:rFonts w:ascii="Times New Roman" w:eastAsiaTheme="minorEastAsia" w:hAnsi="Times New Roman"/>
          <w:color w:val="000000" w:themeColor="text1"/>
          <w:sz w:val="24"/>
          <w:szCs w:val="24"/>
          <w:lang w:eastAsia="ja-JP"/>
        </w:rPr>
      </w:pPr>
      <w:r w:rsidRPr="00184177">
        <w:rPr>
          <w:rFonts w:ascii="Times New Roman" w:eastAsiaTheme="minorEastAsia" w:hAnsi="Times New Roman"/>
          <w:color w:val="000000" w:themeColor="text1"/>
          <w:sz w:val="24"/>
          <w:szCs w:val="24"/>
          <w:lang w:eastAsia="ja-JP"/>
        </w:rPr>
        <w:t>Bismarck/Mandan</w:t>
      </w:r>
    </w:p>
    <w:p w14:paraId="13A8DDCC" w14:textId="76BA5E08" w:rsidR="00D500AE" w:rsidRPr="00184177" w:rsidRDefault="00184177" w:rsidP="00D500AE">
      <w:pPr>
        <w:pStyle w:val="ListParagraph"/>
        <w:widowControl w:val="0"/>
        <w:numPr>
          <w:ilvl w:val="0"/>
          <w:numId w:val="1"/>
        </w:numPr>
        <w:tabs>
          <w:tab w:val="left" w:pos="1062"/>
        </w:tabs>
        <w:autoSpaceDE w:val="0"/>
        <w:autoSpaceDN w:val="0"/>
        <w:spacing w:before="32"/>
        <w:ind w:left="1059" w:hanging="343"/>
        <w:jc w:val="both"/>
        <w:rPr>
          <w:rFonts w:ascii="Times New Roman" w:eastAsiaTheme="minorEastAsia" w:hAnsi="Times New Roman"/>
          <w:color w:val="000000" w:themeColor="text1"/>
          <w:sz w:val="24"/>
          <w:szCs w:val="24"/>
          <w:lang w:eastAsia="ja-JP"/>
        </w:rPr>
      </w:pPr>
      <w:r w:rsidRPr="00184177">
        <w:rPr>
          <w:rFonts w:ascii="Times New Roman" w:eastAsiaTheme="minorEastAsia" w:hAnsi="Times New Roman"/>
          <w:color w:val="000000" w:themeColor="text1"/>
          <w:sz w:val="24"/>
          <w:szCs w:val="24"/>
          <w:lang w:eastAsia="ja-JP"/>
        </w:rPr>
        <w:t>Fargo/West Fargo</w:t>
      </w:r>
    </w:p>
    <w:p w14:paraId="50519F98" w14:textId="6D599AAB" w:rsidR="00D500AE" w:rsidRPr="00184177" w:rsidRDefault="00184177" w:rsidP="00D500AE">
      <w:pPr>
        <w:pStyle w:val="ListParagraph"/>
        <w:widowControl w:val="0"/>
        <w:numPr>
          <w:ilvl w:val="0"/>
          <w:numId w:val="1"/>
        </w:numPr>
        <w:tabs>
          <w:tab w:val="left" w:pos="1062"/>
        </w:tabs>
        <w:autoSpaceDE w:val="0"/>
        <w:autoSpaceDN w:val="0"/>
        <w:spacing w:before="36"/>
        <w:ind w:left="1059" w:hanging="343"/>
        <w:jc w:val="both"/>
        <w:rPr>
          <w:rFonts w:ascii="Times New Roman" w:eastAsiaTheme="minorEastAsia" w:hAnsi="Times New Roman"/>
          <w:color w:val="000000" w:themeColor="text1"/>
          <w:sz w:val="24"/>
          <w:szCs w:val="24"/>
          <w:lang w:eastAsia="ja-JP"/>
        </w:rPr>
      </w:pPr>
      <w:r w:rsidRPr="00184177">
        <w:rPr>
          <w:rFonts w:ascii="Times New Roman" w:eastAsiaTheme="minorEastAsia" w:hAnsi="Times New Roman"/>
          <w:color w:val="000000" w:themeColor="text1"/>
          <w:sz w:val="24"/>
          <w:szCs w:val="24"/>
          <w:lang w:eastAsia="ja-JP"/>
        </w:rPr>
        <w:t>Grand Forks</w:t>
      </w:r>
    </w:p>
    <w:p w14:paraId="666464CE" w14:textId="32447F43" w:rsidR="00D500AE" w:rsidRPr="00184177" w:rsidRDefault="00184177" w:rsidP="00D500AE">
      <w:pPr>
        <w:pStyle w:val="ListParagraph"/>
        <w:widowControl w:val="0"/>
        <w:numPr>
          <w:ilvl w:val="0"/>
          <w:numId w:val="1"/>
        </w:numPr>
        <w:tabs>
          <w:tab w:val="left" w:pos="1057"/>
        </w:tabs>
        <w:autoSpaceDE w:val="0"/>
        <w:autoSpaceDN w:val="0"/>
        <w:spacing w:before="36"/>
        <w:ind w:left="1054" w:hanging="338"/>
        <w:jc w:val="both"/>
        <w:rPr>
          <w:rFonts w:ascii="Times New Roman" w:eastAsiaTheme="minorEastAsia" w:hAnsi="Times New Roman"/>
          <w:color w:val="000000" w:themeColor="text1"/>
          <w:sz w:val="24"/>
          <w:szCs w:val="24"/>
          <w:lang w:eastAsia="ja-JP"/>
        </w:rPr>
      </w:pPr>
      <w:r w:rsidRPr="00184177">
        <w:rPr>
          <w:rFonts w:ascii="Times New Roman" w:eastAsiaTheme="minorEastAsia" w:hAnsi="Times New Roman"/>
          <w:color w:val="000000" w:themeColor="text1"/>
          <w:sz w:val="24"/>
          <w:szCs w:val="24"/>
          <w:lang w:eastAsia="ja-JP"/>
        </w:rPr>
        <w:t>Minot</w:t>
      </w:r>
    </w:p>
    <w:p w14:paraId="347C23D4" w14:textId="77777777" w:rsidR="00D500AE" w:rsidRPr="00184177" w:rsidRDefault="00D500AE" w:rsidP="00D500AE">
      <w:pPr>
        <w:pStyle w:val="Heading5"/>
        <w:ind w:left="719"/>
        <w:jc w:val="both"/>
        <w:rPr>
          <w:rFonts w:ascii="Times New Roman" w:eastAsiaTheme="minorEastAsia" w:hAnsi="Times New Roman" w:cs="Times New Roman"/>
          <w:b w:val="0"/>
          <w:bCs w:val="0"/>
          <w:color w:val="000000" w:themeColor="text1"/>
          <w:sz w:val="24"/>
          <w:szCs w:val="24"/>
          <w:lang w:eastAsia="ja-JP"/>
        </w:rPr>
      </w:pPr>
    </w:p>
    <w:p w14:paraId="7B877F40" w14:textId="4745EF01" w:rsidR="00D500AE" w:rsidRPr="00C30618" w:rsidRDefault="00D500AE" w:rsidP="00D500AE">
      <w:pPr>
        <w:rPr>
          <w:rFonts w:ascii="Times New Roman" w:hAnsi="Times New Roman" w:cs="Times New Roman"/>
          <w:color w:val="000002"/>
          <w:sz w:val="24"/>
          <w:szCs w:val="24"/>
        </w:rPr>
      </w:pPr>
      <w:r w:rsidRPr="00184177">
        <w:rPr>
          <w:rFonts w:ascii="Times New Roman" w:hAnsi="Times New Roman" w:cs="Times New Roman"/>
          <w:color w:val="000002"/>
          <w:sz w:val="24"/>
          <w:szCs w:val="24"/>
        </w:rPr>
        <w:t xml:space="preserve">The public shall have 90 days from the date of this public notice to submit comments regarding the potential loss of eligibility for Rural Development housing programs.  Comments should be sent to  </w:t>
      </w:r>
      <w:hyperlink r:id="rId6" w:history="1">
        <w:r w:rsidR="00184177" w:rsidRPr="00184177">
          <w:rPr>
            <w:rStyle w:val="Hyperlink"/>
            <w:rFonts w:ascii="Times New Roman" w:hAnsi="Times New Roman" w:cs="Times New Roman"/>
            <w:sz w:val="24"/>
            <w:szCs w:val="24"/>
          </w:rPr>
          <w:t>info@nd.usda.gov</w:t>
        </w:r>
      </w:hyperlink>
      <w:r w:rsidR="00184177" w:rsidRPr="00184177">
        <w:rPr>
          <w:rFonts w:ascii="Times New Roman" w:hAnsi="Times New Roman" w:cs="Times New Roman"/>
          <w:color w:val="000002"/>
          <w:sz w:val="24"/>
          <w:szCs w:val="24"/>
        </w:rPr>
        <w:t xml:space="preserve"> </w:t>
      </w:r>
      <w:r w:rsidRPr="00184177">
        <w:rPr>
          <w:rFonts w:ascii="Times New Roman" w:hAnsi="Times New Roman" w:cs="Times New Roman"/>
          <w:color w:val="000002"/>
          <w:sz w:val="24"/>
          <w:szCs w:val="24"/>
        </w:rPr>
        <w:t xml:space="preserve">.  For details, or questions about specific changes, please contact the </w:t>
      </w:r>
      <w:r w:rsidR="00184177" w:rsidRPr="00184177">
        <w:rPr>
          <w:rFonts w:ascii="Times New Roman" w:hAnsi="Times New Roman" w:cs="Times New Roman"/>
          <w:color w:val="000002"/>
          <w:sz w:val="24"/>
          <w:szCs w:val="24"/>
        </w:rPr>
        <w:t>North Dakota</w:t>
      </w:r>
      <w:r w:rsidRPr="00184177">
        <w:rPr>
          <w:rFonts w:ascii="Times New Roman" w:hAnsi="Times New Roman" w:cs="Times New Roman"/>
          <w:sz w:val="24"/>
          <w:szCs w:val="24"/>
        </w:rPr>
        <w:t xml:space="preserve"> </w:t>
      </w:r>
      <w:r w:rsidRPr="00184177">
        <w:rPr>
          <w:rFonts w:ascii="Times New Roman" w:hAnsi="Times New Roman" w:cs="Times New Roman"/>
          <w:color w:val="000002"/>
          <w:sz w:val="24"/>
          <w:szCs w:val="24"/>
        </w:rPr>
        <w:t>Rural Development Housing Program staff at (</w:t>
      </w:r>
      <w:r w:rsidR="00184177" w:rsidRPr="00184177">
        <w:rPr>
          <w:rFonts w:ascii="Times New Roman" w:hAnsi="Times New Roman" w:cs="Times New Roman"/>
          <w:color w:val="000002"/>
          <w:sz w:val="24"/>
          <w:szCs w:val="24"/>
        </w:rPr>
        <w:t>701</w:t>
      </w:r>
      <w:r w:rsidRPr="00184177">
        <w:rPr>
          <w:rFonts w:ascii="Times New Roman" w:hAnsi="Times New Roman" w:cs="Times New Roman"/>
          <w:color w:val="000002"/>
          <w:sz w:val="24"/>
          <w:szCs w:val="24"/>
        </w:rPr>
        <w:t xml:space="preserve">) </w:t>
      </w:r>
      <w:r w:rsidR="00184177" w:rsidRPr="00184177">
        <w:rPr>
          <w:rFonts w:ascii="Times New Roman" w:hAnsi="Times New Roman" w:cs="Times New Roman"/>
          <w:color w:val="000002"/>
          <w:sz w:val="24"/>
          <w:szCs w:val="24"/>
        </w:rPr>
        <w:t>495-7690</w:t>
      </w:r>
      <w:r w:rsidRPr="00184177">
        <w:rPr>
          <w:rFonts w:ascii="Times New Roman" w:hAnsi="Times New Roman" w:cs="Times New Roman"/>
          <w:color w:val="000002"/>
          <w:sz w:val="24"/>
          <w:szCs w:val="24"/>
        </w:rPr>
        <w:t>.</w:t>
      </w:r>
    </w:p>
    <w:p w14:paraId="1829C4DF" w14:textId="77777777" w:rsidR="00D500AE" w:rsidRDefault="00D500AE" w:rsidP="00D500AE">
      <w:pPr>
        <w:rPr>
          <w:rFonts w:ascii="Times New Roman" w:hAnsi="Times New Roman"/>
          <w:sz w:val="24"/>
          <w:szCs w:val="24"/>
        </w:rPr>
      </w:pPr>
    </w:p>
    <w:p w14:paraId="157253FD" w14:textId="77777777" w:rsidR="00D500AE" w:rsidRPr="00343778" w:rsidRDefault="00D500AE" w:rsidP="00D500AE">
      <w:pPr>
        <w:rPr>
          <w:i/>
          <w:sz w:val="16"/>
          <w:szCs w:val="16"/>
        </w:rPr>
      </w:pPr>
      <w:r>
        <w:rPr>
          <w:rFonts w:ascii="Times New Roman" w:hAnsi="Times New Roman"/>
          <w:sz w:val="24"/>
          <w:szCs w:val="24"/>
        </w:rPr>
        <w:t xml:space="preserve">   </w:t>
      </w:r>
    </w:p>
    <w:p w14:paraId="5E0CD47E" w14:textId="77777777" w:rsidR="00D500AE" w:rsidRDefault="00D500AE" w:rsidP="00D500AE"/>
    <w:p w14:paraId="4EF8D6BF" w14:textId="77777777" w:rsidR="00921F1D" w:rsidRDefault="00921F1D"/>
    <w:sectPr w:rsidR="00921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6720"/>
    <w:multiLevelType w:val="hybridMultilevel"/>
    <w:tmpl w:val="F96EA87A"/>
    <w:lvl w:ilvl="0" w:tplc="C8E21C88">
      <w:start w:val="1"/>
      <w:numFmt w:val="decimal"/>
      <w:lvlText w:val="%1."/>
      <w:lvlJc w:val="left"/>
      <w:pPr>
        <w:ind w:left="1066" w:hanging="342"/>
        <w:jc w:val="right"/>
      </w:pPr>
      <w:rPr>
        <w:rFonts w:hint="default"/>
        <w:spacing w:val="-1"/>
        <w:w w:val="95"/>
        <w:lang w:val="en-US" w:eastAsia="en-US" w:bidi="ar-SA"/>
      </w:rPr>
    </w:lvl>
    <w:lvl w:ilvl="1" w:tplc="CF4C28CC">
      <w:numFmt w:val="bullet"/>
      <w:lvlText w:val="•"/>
      <w:lvlJc w:val="left"/>
      <w:pPr>
        <w:ind w:left="2104" w:hanging="342"/>
      </w:pPr>
      <w:rPr>
        <w:rFonts w:hint="default"/>
        <w:lang w:val="en-US" w:eastAsia="en-US" w:bidi="ar-SA"/>
      </w:rPr>
    </w:lvl>
    <w:lvl w:ilvl="2" w:tplc="77AC6144">
      <w:numFmt w:val="bullet"/>
      <w:lvlText w:val="•"/>
      <w:lvlJc w:val="left"/>
      <w:pPr>
        <w:ind w:left="3148" w:hanging="342"/>
      </w:pPr>
      <w:rPr>
        <w:rFonts w:hint="default"/>
        <w:lang w:val="en-US" w:eastAsia="en-US" w:bidi="ar-SA"/>
      </w:rPr>
    </w:lvl>
    <w:lvl w:ilvl="3" w:tplc="EA988286">
      <w:numFmt w:val="bullet"/>
      <w:lvlText w:val="•"/>
      <w:lvlJc w:val="left"/>
      <w:pPr>
        <w:ind w:left="4192" w:hanging="342"/>
      </w:pPr>
      <w:rPr>
        <w:rFonts w:hint="default"/>
        <w:lang w:val="en-US" w:eastAsia="en-US" w:bidi="ar-SA"/>
      </w:rPr>
    </w:lvl>
    <w:lvl w:ilvl="4" w:tplc="F18ADEAA">
      <w:numFmt w:val="bullet"/>
      <w:lvlText w:val="•"/>
      <w:lvlJc w:val="left"/>
      <w:pPr>
        <w:ind w:left="5236" w:hanging="342"/>
      </w:pPr>
      <w:rPr>
        <w:rFonts w:hint="default"/>
        <w:lang w:val="en-US" w:eastAsia="en-US" w:bidi="ar-SA"/>
      </w:rPr>
    </w:lvl>
    <w:lvl w:ilvl="5" w:tplc="A7F84E50">
      <w:numFmt w:val="bullet"/>
      <w:lvlText w:val="•"/>
      <w:lvlJc w:val="left"/>
      <w:pPr>
        <w:ind w:left="6280" w:hanging="342"/>
      </w:pPr>
      <w:rPr>
        <w:rFonts w:hint="default"/>
        <w:lang w:val="en-US" w:eastAsia="en-US" w:bidi="ar-SA"/>
      </w:rPr>
    </w:lvl>
    <w:lvl w:ilvl="6" w:tplc="CDA01FE8">
      <w:numFmt w:val="bullet"/>
      <w:lvlText w:val="•"/>
      <w:lvlJc w:val="left"/>
      <w:pPr>
        <w:ind w:left="7324" w:hanging="342"/>
      </w:pPr>
      <w:rPr>
        <w:rFonts w:hint="default"/>
        <w:lang w:val="en-US" w:eastAsia="en-US" w:bidi="ar-SA"/>
      </w:rPr>
    </w:lvl>
    <w:lvl w:ilvl="7" w:tplc="4A82DDF2">
      <w:numFmt w:val="bullet"/>
      <w:lvlText w:val="•"/>
      <w:lvlJc w:val="left"/>
      <w:pPr>
        <w:ind w:left="8368" w:hanging="342"/>
      </w:pPr>
      <w:rPr>
        <w:rFonts w:hint="default"/>
        <w:lang w:val="en-US" w:eastAsia="en-US" w:bidi="ar-SA"/>
      </w:rPr>
    </w:lvl>
    <w:lvl w:ilvl="8" w:tplc="1A4072B0">
      <w:numFmt w:val="bullet"/>
      <w:lvlText w:val="•"/>
      <w:lvlJc w:val="left"/>
      <w:pPr>
        <w:ind w:left="9412" w:hanging="342"/>
      </w:pPr>
      <w:rPr>
        <w:rFonts w:hint="default"/>
        <w:lang w:val="en-US" w:eastAsia="en-US" w:bidi="ar-SA"/>
      </w:rPr>
    </w:lvl>
  </w:abstractNum>
  <w:abstractNum w:abstractNumId="1" w15:restartNumberingAfterBreak="0">
    <w:nsid w:val="5F9D5E80"/>
    <w:multiLevelType w:val="hybridMultilevel"/>
    <w:tmpl w:val="A3489EA8"/>
    <w:lvl w:ilvl="0" w:tplc="559838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59180503">
    <w:abstractNumId w:val="0"/>
  </w:num>
  <w:num w:numId="2" w16cid:durableId="1600408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AE"/>
    <w:rsid w:val="00184177"/>
    <w:rsid w:val="0021105F"/>
    <w:rsid w:val="0072381E"/>
    <w:rsid w:val="007D1269"/>
    <w:rsid w:val="00817B8A"/>
    <w:rsid w:val="00921F1D"/>
    <w:rsid w:val="00D500AE"/>
    <w:rsid w:val="00EB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CFA6"/>
  <w15:chartTrackingRefBased/>
  <w15:docId w15:val="{4EE245EF-ADC0-41E0-A566-5A0DD41B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0AE"/>
    <w:pPr>
      <w:spacing w:after="0" w:line="240" w:lineRule="auto"/>
    </w:pPr>
    <w:rPr>
      <w:rFonts w:ascii="Arial" w:eastAsiaTheme="minorEastAsia" w:hAnsi="Arial" w:cs="Arial"/>
      <w:color w:val="000000" w:themeColor="text1"/>
      <w:sz w:val="28"/>
      <w:szCs w:val="28"/>
      <w:lang w:eastAsia="ja-JP"/>
    </w:rPr>
  </w:style>
  <w:style w:type="paragraph" w:styleId="Heading5">
    <w:name w:val="heading 5"/>
    <w:basedOn w:val="Normal"/>
    <w:link w:val="Heading5Char"/>
    <w:uiPriority w:val="9"/>
    <w:unhideWhenUsed/>
    <w:qFormat/>
    <w:rsid w:val="00D500AE"/>
    <w:pPr>
      <w:widowControl w:val="0"/>
      <w:autoSpaceDE w:val="0"/>
      <w:autoSpaceDN w:val="0"/>
      <w:ind w:left="20"/>
      <w:outlineLvl w:val="4"/>
    </w:pPr>
    <w:rPr>
      <w:rFonts w:eastAsia="Arial"/>
      <w:b/>
      <w:bCs/>
      <w:color w:val="auto"/>
      <w:sz w:val="19"/>
      <w:szCs w:val="19"/>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500AE"/>
    <w:rPr>
      <w:rFonts w:ascii="Arial" w:eastAsia="Arial" w:hAnsi="Arial" w:cs="Arial"/>
      <w:b/>
      <w:bCs/>
      <w:sz w:val="19"/>
      <w:szCs w:val="19"/>
    </w:rPr>
  </w:style>
  <w:style w:type="paragraph" w:styleId="ListParagraph">
    <w:name w:val="List Paragraph"/>
    <w:basedOn w:val="Normal"/>
    <w:uiPriority w:val="1"/>
    <w:qFormat/>
    <w:rsid w:val="00D500AE"/>
    <w:pPr>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D500AE"/>
    <w:rPr>
      <w:color w:val="0563C1" w:themeColor="hyperlink"/>
      <w:u w:val="single"/>
    </w:rPr>
  </w:style>
  <w:style w:type="paragraph" w:styleId="BodyText">
    <w:name w:val="Body Text"/>
    <w:basedOn w:val="Normal"/>
    <w:link w:val="BodyTextChar"/>
    <w:uiPriority w:val="1"/>
    <w:qFormat/>
    <w:rsid w:val="00D500AE"/>
    <w:pPr>
      <w:widowControl w:val="0"/>
      <w:autoSpaceDE w:val="0"/>
      <w:autoSpaceDN w:val="0"/>
    </w:pPr>
    <w:rPr>
      <w:rFonts w:eastAsia="Arial"/>
      <w:color w:val="auto"/>
      <w:sz w:val="19"/>
      <w:szCs w:val="19"/>
      <w:lang w:eastAsia="en-US"/>
    </w:rPr>
  </w:style>
  <w:style w:type="character" w:customStyle="1" w:styleId="BodyTextChar">
    <w:name w:val="Body Text Char"/>
    <w:basedOn w:val="DefaultParagraphFont"/>
    <w:link w:val="BodyText"/>
    <w:uiPriority w:val="1"/>
    <w:rsid w:val="00D500AE"/>
    <w:rPr>
      <w:rFonts w:ascii="Arial" w:eastAsia="Arial" w:hAnsi="Arial" w:cs="Arial"/>
      <w:sz w:val="19"/>
      <w:szCs w:val="19"/>
    </w:rPr>
  </w:style>
  <w:style w:type="character" w:styleId="UnresolvedMention">
    <w:name w:val="Unresolved Mention"/>
    <w:basedOn w:val="DefaultParagraphFont"/>
    <w:uiPriority w:val="99"/>
    <w:semiHidden/>
    <w:unhideWhenUsed/>
    <w:rsid w:val="00184177"/>
    <w:rPr>
      <w:color w:val="605E5C"/>
      <w:shd w:val="clear" w:color="auto" w:fill="E1DFDD"/>
    </w:rPr>
  </w:style>
  <w:style w:type="character" w:styleId="FollowedHyperlink">
    <w:name w:val="FollowedHyperlink"/>
    <w:basedOn w:val="DefaultParagraphFont"/>
    <w:uiPriority w:val="99"/>
    <w:semiHidden/>
    <w:unhideWhenUsed/>
    <w:rsid w:val="001841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d.usda.gov" TargetMode="External"/><Relationship Id="rId5" Type="http://schemas.openxmlformats.org/officeDocument/2006/relationships/hyperlink" Target="https://www.rd.usda.gov/files/3550-1chapter0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Nista, Scott - RD, VA</dc:creator>
  <cp:keywords/>
  <dc:description/>
  <cp:lastModifiedBy>Freeman, Christopher - RD, ND</cp:lastModifiedBy>
  <cp:revision>2</cp:revision>
  <dcterms:created xsi:type="dcterms:W3CDTF">2023-03-08T14:34:00Z</dcterms:created>
  <dcterms:modified xsi:type="dcterms:W3CDTF">2023-03-08T14:34:00Z</dcterms:modified>
</cp:coreProperties>
</file>